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28" w:rsidRDefault="007C7AFB">
      <w:pPr>
        <w:pStyle w:val="2"/>
        <w:jc w:val="center"/>
        <w:rPr>
          <w:color w:val="000000" w:themeColor="text1"/>
          <w:kern w:val="0"/>
        </w:rPr>
      </w:pPr>
      <w:bookmarkStart w:id="0" w:name="_Toc470518064"/>
      <w:bookmarkStart w:id="1" w:name="_Toc478823892"/>
      <w:r>
        <w:rPr>
          <w:color w:val="000000" w:themeColor="text1"/>
          <w:kern w:val="0"/>
        </w:rPr>
        <w:t>人文地理与城乡规划</w:t>
      </w:r>
      <w:r>
        <w:rPr>
          <w:rFonts w:hint="eastAsia"/>
          <w:color w:val="000000" w:themeColor="text1"/>
          <w:kern w:val="0"/>
        </w:rPr>
        <w:t>（留学生）</w:t>
      </w:r>
      <w:bookmarkEnd w:id="0"/>
      <w:bookmarkEnd w:id="1"/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一、</w:t>
      </w:r>
      <w:r>
        <w:rPr>
          <w:rFonts w:eastAsia="黑体"/>
          <w:kern w:val="0"/>
          <w:sz w:val="28"/>
        </w:rPr>
        <w:t>培养目标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专业培养目标为：具有人文地理与城乡规划的基本理论、基本知识和基本技能；具有良好的创新思想和实践能力；具有严格的科学练和实际操过技能；能在科研机构、学校、企事业单位和行政管理部门从事科研、教学、资源开发利用、城市与区域的规划咨询、管理等工作；具有优秀的人文和科学素养、宽厚的专业基础、开阔的国际视野、强烈的社会责任感的未来精英人才；以及继续攻读硕士、博士学位的人才。</w:t>
      </w:r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二、培养要求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系统掌握人文地理学与城乡规划学的基本原理、知识与技能；了解地理学、城乡规划学、经济学、社会学、生态学、环境科学、管理科学等学科的一般原理和方法；了解地理学专业前沿问题、知识应用前景和发展动态；接受良好的科学思维和科学方法的基本训练，培养学生的创新意识和科学研究的初步能力；熟练掌握遥感应用、地理信息系统的基本技能和方法；掌握收集和分析数据资料的传统与现代技术方法，以及初步分析数据资料的专业技能；学习数、理、化、计算机及人文科学等相关学科的基本理论、知识和技能；熟练掌握一门外语，达到规定要求。</w:t>
      </w:r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三、主干学科</w:t>
      </w:r>
    </w:p>
    <w:p w:rsidR="00360328" w:rsidRDefault="007C7AFB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地理学</w:t>
      </w:r>
    </w:p>
    <w:p w:rsidR="00360328" w:rsidRDefault="007C7AFB">
      <w:pPr>
        <w:widowControl/>
        <w:numPr>
          <w:ilvl w:val="0"/>
          <w:numId w:val="1"/>
        </w:num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核心课程（共</w:t>
      </w:r>
      <w:r>
        <w:rPr>
          <w:rFonts w:eastAsia="黑体"/>
          <w:kern w:val="0"/>
          <w:sz w:val="28"/>
        </w:rPr>
        <w:t>15</w:t>
      </w:r>
      <w:r>
        <w:rPr>
          <w:rFonts w:eastAsia="黑体"/>
          <w:kern w:val="0"/>
          <w:sz w:val="28"/>
        </w:rPr>
        <w:t>门）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人文地理学、地图学、自然地理学、地理信息系统、地理统计分析、遥感概论、全球变化与可持续发展、经济地理学、城市地理学、区域分析与规划、城市规划原理、人口地理学、产业地理与规划、交通规划与交通地理、都市区土地利用规划与管理。</w:t>
      </w:r>
    </w:p>
    <w:p w:rsidR="00360328" w:rsidRDefault="00360328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五、主要实践性教学环节</w:t>
      </w:r>
      <w:bookmarkStart w:id="2" w:name="_GoBack"/>
      <w:bookmarkEnd w:id="2"/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lastRenderedPageBreak/>
        <w:t>人文地理与城乡规划专业属于地理学中应用性较强的专业之一，因此需要加强实践性教学环节的内容。主要从以下两个方面实现：</w:t>
      </w:r>
    </w:p>
    <w:p w:rsidR="00360328" w:rsidRDefault="007C7AFB">
      <w:pPr>
        <w:widowControl/>
        <w:spacing w:line="360" w:lineRule="auto"/>
        <w:ind w:firstLineChars="200" w:firstLine="482"/>
        <w:jc w:val="left"/>
        <w:rPr>
          <w:sz w:val="24"/>
        </w:rPr>
      </w:pPr>
      <w:r>
        <w:rPr>
          <w:rFonts w:hAnsi="宋体"/>
          <w:b/>
          <w:sz w:val="24"/>
        </w:rPr>
        <w:t>课程实习与实践教学</w:t>
      </w:r>
      <w:r>
        <w:rPr>
          <w:rFonts w:hAnsi="宋体"/>
          <w:sz w:val="24"/>
        </w:rPr>
        <w:t>：在课堂教学的同时，根据学习的内容，增加</w:t>
      </w:r>
      <w:r>
        <w:rPr>
          <w:sz w:val="24"/>
        </w:rPr>
        <w:t>0.5-1</w:t>
      </w:r>
      <w:r>
        <w:rPr>
          <w:rFonts w:hAnsi="宋体"/>
          <w:sz w:val="24"/>
        </w:rPr>
        <w:t>天的短途实践教学。本教学计划中有短途实习的课程有：人文地理学、城市地理学、经济地理学、城市规划原理、社会与文化地理学、都市区土地利用规划与管理、产业地理与规划、服务与金融地理学等课程</w:t>
      </w:r>
    </w:p>
    <w:p w:rsidR="00360328" w:rsidRDefault="007C7AFB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Ansi="宋体"/>
          <w:b/>
          <w:sz w:val="24"/>
        </w:rPr>
        <w:t>主要专业实践技能教学：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本计划中主要专业实践技能的课程有：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自然地理野外实习</w:t>
      </w:r>
      <w:r>
        <w:rPr>
          <w:sz w:val="24"/>
        </w:rPr>
        <w:t>---</w:t>
      </w:r>
      <w:r>
        <w:rPr>
          <w:rFonts w:hAnsi="宋体"/>
          <w:sz w:val="24"/>
        </w:rPr>
        <w:t>掌握自然地理相关内容的野外观察分析方法、提高数据的采集、分析能力，培养学生发现问题、分析问题、解决问题的能力，实习时间</w:t>
      </w:r>
      <w:r>
        <w:rPr>
          <w:sz w:val="24"/>
        </w:rPr>
        <w:t>10</w:t>
      </w:r>
      <w:r>
        <w:rPr>
          <w:rFonts w:hAnsi="宋体"/>
          <w:sz w:val="24"/>
        </w:rPr>
        <w:t>天左右。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人文地理野外实习</w:t>
      </w:r>
      <w:r>
        <w:rPr>
          <w:sz w:val="24"/>
        </w:rPr>
        <w:t>---</w:t>
      </w:r>
      <w:r>
        <w:rPr>
          <w:rFonts w:hAnsi="宋体"/>
          <w:sz w:val="24"/>
        </w:rPr>
        <w:t>掌握人文地理相关内容的野外观察分析方法、提高数据的采集、分析能力，培养学生发现问题、分析问题、解决问题的能力，实习时间</w:t>
      </w:r>
      <w:r>
        <w:rPr>
          <w:sz w:val="24"/>
        </w:rPr>
        <w:t>10</w:t>
      </w:r>
      <w:r>
        <w:rPr>
          <w:rFonts w:hAnsi="宋体"/>
          <w:sz w:val="24"/>
        </w:rPr>
        <w:t>天左右。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城乡规划实习</w:t>
      </w:r>
      <w:r>
        <w:rPr>
          <w:sz w:val="24"/>
        </w:rPr>
        <w:t>---</w:t>
      </w:r>
      <w:r>
        <w:rPr>
          <w:rFonts w:hAnsi="宋体"/>
          <w:sz w:val="24"/>
        </w:rPr>
        <w:t>对城乡地区的用地布局、旅游、产业、交通等方面进行规划设计实习。实习时间为</w:t>
      </w:r>
      <w:r>
        <w:rPr>
          <w:sz w:val="24"/>
        </w:rPr>
        <w:t>10-30</w:t>
      </w:r>
      <w:r>
        <w:rPr>
          <w:rFonts w:hAnsi="宋体"/>
          <w:sz w:val="24"/>
        </w:rPr>
        <w:t>天。</w:t>
      </w:r>
    </w:p>
    <w:p w:rsidR="00360328" w:rsidRDefault="007C7AF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规划制图</w:t>
      </w:r>
      <w:r>
        <w:rPr>
          <w:sz w:val="24"/>
        </w:rPr>
        <w:t>---</w:t>
      </w:r>
      <w:r>
        <w:rPr>
          <w:rFonts w:hAnsi="宋体"/>
          <w:sz w:val="24"/>
        </w:rPr>
        <w:t>本课程为</w:t>
      </w:r>
      <w:r>
        <w:rPr>
          <w:sz w:val="24"/>
        </w:rPr>
        <w:t>2</w:t>
      </w:r>
      <w:r>
        <w:rPr>
          <w:rFonts w:hAnsi="宋体"/>
          <w:sz w:val="24"/>
        </w:rPr>
        <w:t>学分实验操作课程。熟练操作</w:t>
      </w:r>
      <w:r>
        <w:rPr>
          <w:sz w:val="24"/>
        </w:rPr>
        <w:t>AutoCAD</w:t>
      </w:r>
      <w:r>
        <w:rPr>
          <w:rFonts w:hAnsi="宋体"/>
          <w:sz w:val="24"/>
        </w:rPr>
        <w:t>、</w:t>
      </w:r>
      <w:r>
        <w:rPr>
          <w:sz w:val="24"/>
        </w:rPr>
        <w:t>photoshop</w:t>
      </w:r>
      <w:r>
        <w:rPr>
          <w:rFonts w:hAnsi="宋体"/>
          <w:sz w:val="24"/>
        </w:rPr>
        <w:t>等辅助绘图软件。</w:t>
      </w:r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六、学制</w:t>
      </w:r>
    </w:p>
    <w:p w:rsidR="00360328" w:rsidRDefault="007C7AFB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学制四年</w:t>
      </w:r>
    </w:p>
    <w:p w:rsidR="00360328" w:rsidRDefault="007C7AFB">
      <w:pPr>
        <w:widowControl/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/>
          <w:kern w:val="0"/>
          <w:sz w:val="28"/>
        </w:rPr>
        <w:t>七、授予学位及毕业总学分</w:t>
      </w:r>
    </w:p>
    <w:p w:rsidR="00360328" w:rsidRDefault="007C7AFB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授予学位：理学学士学位；毕业总学分：</w:t>
      </w:r>
      <w:r>
        <w:rPr>
          <w:sz w:val="24"/>
        </w:rPr>
        <w:t>155</w:t>
      </w:r>
      <w:r>
        <w:rPr>
          <w:rFonts w:hAnsi="宋体"/>
          <w:sz w:val="24"/>
        </w:rPr>
        <w:t>。</w:t>
      </w:r>
    </w:p>
    <w:p w:rsidR="00360328" w:rsidRDefault="007C7AFB">
      <w:pPr>
        <w:spacing w:line="360" w:lineRule="auto"/>
        <w:jc w:val="left"/>
        <w:rPr>
          <w:rFonts w:eastAsia="黑体" w:hAnsi="黑体"/>
          <w:kern w:val="0"/>
          <w:sz w:val="28"/>
        </w:rPr>
      </w:pPr>
      <w:r>
        <w:rPr>
          <w:rFonts w:eastAsia="黑体"/>
          <w:kern w:val="0"/>
          <w:sz w:val="28"/>
        </w:rPr>
        <w:br w:type="page"/>
      </w:r>
      <w:r>
        <w:rPr>
          <w:rFonts w:eastAsia="黑体" w:hAnsi="黑体"/>
          <w:kern w:val="0"/>
          <w:sz w:val="28"/>
        </w:rPr>
        <w:lastRenderedPageBreak/>
        <w:t>八、课程结构及学分要求</w:t>
      </w:r>
    </w:p>
    <w:tbl>
      <w:tblPr>
        <w:tblW w:w="8910" w:type="dxa"/>
        <w:jc w:val="center"/>
        <w:tblLayout w:type="fixed"/>
        <w:tblLook w:val="04A0"/>
      </w:tblPr>
      <w:tblGrid>
        <w:gridCol w:w="1540"/>
        <w:gridCol w:w="2164"/>
        <w:gridCol w:w="2929"/>
        <w:gridCol w:w="785"/>
        <w:gridCol w:w="1492"/>
      </w:tblGrid>
      <w:tr w:rsidR="00360328">
        <w:trPr>
          <w:trHeight w:val="43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课程类别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课程模块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要求及学分</w:t>
            </w:r>
          </w:p>
        </w:tc>
      </w:tr>
      <w:tr w:rsidR="00360328">
        <w:trPr>
          <w:trHeight w:val="3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7C7AFB">
            <w:pPr>
              <w:widowControl/>
              <w:spacing w:line="32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通识教育课程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家国情怀与价值</w:t>
            </w:r>
            <w:r>
              <w:rPr>
                <w:rFonts w:hAnsi="宋体" w:hint="eastAsia"/>
                <w:kern w:val="0"/>
                <w:szCs w:val="21"/>
              </w:rPr>
              <w:t>理想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学分：体育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学分。</w:t>
            </w:r>
          </w:p>
        </w:tc>
      </w:tr>
      <w:tr w:rsidR="00360328">
        <w:trPr>
          <w:trHeight w:val="5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国际视野与文明对话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学分，选修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学分：</w:t>
            </w:r>
          </w:p>
          <w:p w:rsidR="00360328" w:rsidRDefault="007C7AFB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必修：</w:t>
            </w:r>
            <w:r>
              <w:rPr>
                <w:kern w:val="0"/>
                <w:szCs w:val="21"/>
              </w:rPr>
              <w:t>中国概况（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学分）</w:t>
            </w:r>
            <w:r>
              <w:rPr>
                <w:rFonts w:hint="eastAsia"/>
                <w:kern w:val="0"/>
                <w:szCs w:val="21"/>
              </w:rPr>
              <w:t>、中级汉语读写或中高级汉语读写（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学分）</w:t>
            </w:r>
          </w:p>
          <w:p w:rsidR="00360328" w:rsidRDefault="007C7AFB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选修：本模块任意课程（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学分），优选</w:t>
            </w:r>
            <w:r>
              <w:rPr>
                <w:rFonts w:hint="eastAsia"/>
                <w:kern w:val="0"/>
                <w:szCs w:val="21"/>
              </w:rPr>
              <w:t>L</w:t>
            </w:r>
            <w:r>
              <w:rPr>
                <w:rFonts w:hint="eastAsia"/>
                <w:kern w:val="0"/>
                <w:szCs w:val="21"/>
              </w:rPr>
              <w:t>类课程</w:t>
            </w:r>
          </w:p>
        </w:tc>
      </w:tr>
      <w:tr w:rsidR="00360328">
        <w:trPr>
          <w:trHeight w:val="37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经典研读与文化传承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</w:t>
            </w:r>
            <w:r>
              <w:rPr>
                <w:rFonts w:hAnsi="宋体"/>
                <w:kern w:val="0"/>
                <w:szCs w:val="21"/>
              </w:rPr>
              <w:t>6</w:t>
            </w:r>
            <w:r>
              <w:rPr>
                <w:rFonts w:hAnsi="宋体" w:hint="eastAsia"/>
                <w:kern w:val="0"/>
                <w:szCs w:val="21"/>
              </w:rPr>
              <w:t>学分，</w:t>
            </w: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必修：中华文化要略（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 w:hint="eastAsia"/>
                <w:kern w:val="0"/>
                <w:szCs w:val="21"/>
              </w:rPr>
              <w:t>学分）、中级汉语写作（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学分）或中高级汉语写作（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学分）选修：本模块任意课程（</w:t>
            </w:r>
            <w:r>
              <w:rPr>
                <w:rFonts w:hAnsi="宋体"/>
                <w:kern w:val="0"/>
                <w:szCs w:val="21"/>
              </w:rPr>
              <w:t>8</w:t>
            </w:r>
            <w:r>
              <w:rPr>
                <w:rFonts w:hAnsi="宋体" w:hint="eastAsia"/>
                <w:kern w:val="0"/>
                <w:szCs w:val="21"/>
              </w:rPr>
              <w:t>学分）</w:t>
            </w:r>
          </w:p>
        </w:tc>
      </w:tr>
      <w:tr w:rsidR="00360328">
        <w:trPr>
          <w:trHeight w:val="40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数理基础与科学素养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必修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学分：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数学：必修</w:t>
            </w:r>
            <w:r>
              <w:t>数学</w:t>
            </w:r>
            <w:r>
              <w:t>III</w:t>
            </w:r>
            <w:r>
              <w:t>组（</w:t>
            </w:r>
            <w:r>
              <w:t>12</w:t>
            </w:r>
            <w:r>
              <w:t>学分），《概率论与数理统计（</w:t>
            </w:r>
            <w:r>
              <w:t>3</w:t>
            </w:r>
            <w:r>
              <w:t>学分）</w:t>
            </w:r>
            <w:r>
              <w:rPr>
                <w:rFonts w:hAnsi="宋体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物理：必修</w:t>
            </w:r>
            <w:r>
              <w:t>物理</w:t>
            </w:r>
            <w:r>
              <w:t>III</w:t>
            </w:r>
            <w:r>
              <w:t>组（</w:t>
            </w:r>
            <w:r>
              <w:t>8</w:t>
            </w:r>
            <w:r>
              <w:t>学分），《基础物理实验</w:t>
            </w:r>
            <w:r>
              <w:t>BI-1</w:t>
            </w:r>
            <w:r>
              <w:t>》（</w:t>
            </w:r>
            <w:r>
              <w:t>2</w:t>
            </w:r>
            <w:r>
              <w:t>学分）</w:t>
            </w:r>
            <w:r>
              <w:rPr>
                <w:rFonts w:hAnsi="宋体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化学：必修化学</w:t>
            </w:r>
            <w:r>
              <w:rPr>
                <w:kern w:val="0"/>
                <w:szCs w:val="21"/>
              </w:rPr>
              <w:t>III</w:t>
            </w:r>
            <w:r>
              <w:rPr>
                <w:rFonts w:hAnsi="宋体"/>
                <w:kern w:val="0"/>
                <w:szCs w:val="21"/>
              </w:rPr>
              <w:t>组的《普通化学》（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学分）、《普通化学实验》（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学分），共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生物、天文、地理类：至少修读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学分，共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  <w:p w:rsidR="00360328" w:rsidRDefault="007C7AFB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大学计算机：</w:t>
            </w:r>
            <w:r>
              <w:rPr>
                <w:kern w:val="0"/>
                <w:szCs w:val="21"/>
              </w:rPr>
              <w:t>必修《</w:t>
            </w:r>
            <w:r>
              <w:rPr>
                <w:rFonts w:hint="eastAsia"/>
                <w:kern w:val="0"/>
                <w:szCs w:val="21"/>
              </w:rPr>
              <w:t>计算机应用基础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kern w:val="0"/>
                <w:szCs w:val="21"/>
              </w:rPr>
              <w:t>》（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学分）、《</w:t>
            </w:r>
            <w:r>
              <w:rPr>
                <w:rFonts w:hint="eastAsia"/>
                <w:kern w:val="0"/>
                <w:szCs w:val="21"/>
              </w:rPr>
              <w:t>信息技术应用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kern w:val="0"/>
                <w:szCs w:val="21"/>
              </w:rPr>
              <w:t>》（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学分），共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学分</w:t>
            </w:r>
          </w:p>
        </w:tc>
      </w:tr>
      <w:tr w:rsidR="00360328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艺术鉴赏与审美体验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60328">
        <w:trPr>
          <w:trHeight w:val="371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社会发展与</w:t>
            </w:r>
            <w:r>
              <w:rPr>
                <w:rFonts w:hAnsi="宋体" w:hint="eastAsia"/>
                <w:kern w:val="0"/>
                <w:szCs w:val="21"/>
              </w:rPr>
              <w:t>公民责任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60328">
        <w:trPr>
          <w:trHeight w:val="39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76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专业教育课程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学科基础课程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必修</w:t>
            </w:r>
            <w:r>
              <w:rPr>
                <w:kern w:val="0"/>
                <w:szCs w:val="21"/>
              </w:rPr>
              <w:t>27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专业选修课程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rFonts w:hint="eastAsia"/>
                <w:kern w:val="0"/>
                <w:szCs w:val="21"/>
              </w:rPr>
              <w:t>34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60328">
        <w:trPr>
          <w:trHeight w:hRule="exact" w:val="73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自由选修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选修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学分：由学生根据个人发展需要，在本专业或其他专业中自主选修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学分</w:t>
            </w:r>
            <w:r w:rsidR="00CA6C87">
              <w:rPr>
                <w:rFonts w:hAnsi="宋体"/>
                <w:kern w:val="0"/>
                <w:szCs w:val="21"/>
              </w:rPr>
              <w:t>，</w:t>
            </w:r>
            <w:r w:rsidR="00CA6C87" w:rsidRPr="00CA6C87">
              <w:rPr>
                <w:rFonts w:hAnsi="宋体" w:hint="eastAsia"/>
                <w:kern w:val="0"/>
                <w:szCs w:val="21"/>
              </w:rPr>
              <w:t>具体要求见修读说明。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实践与创新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专业实习与社会调查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毕业论文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社会实践与志愿服务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合计修读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学分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科研训练与创新创业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0-2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360328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360328">
        <w:trPr>
          <w:trHeight w:hRule="exact" w:val="369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28" w:rsidRDefault="0036032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</w:t>
            </w:r>
          </w:p>
        </w:tc>
      </w:tr>
      <w:tr w:rsidR="00360328">
        <w:trPr>
          <w:trHeight w:hRule="exact" w:val="369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总计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</w:tr>
    </w:tbl>
    <w:p w:rsidR="00360328" w:rsidRDefault="00360328" w:rsidP="003739E3">
      <w:pPr>
        <w:spacing w:beforeLines="50" w:afterLines="50" w:line="360" w:lineRule="auto"/>
        <w:jc w:val="left"/>
        <w:rPr>
          <w:rFonts w:eastAsia="黑体" w:hAnsi="黑体"/>
          <w:kern w:val="0"/>
          <w:sz w:val="28"/>
        </w:rPr>
      </w:pPr>
    </w:p>
    <w:p w:rsidR="00360328" w:rsidRDefault="00360328" w:rsidP="003739E3">
      <w:pPr>
        <w:spacing w:beforeLines="50" w:afterLines="50" w:line="360" w:lineRule="auto"/>
        <w:jc w:val="left"/>
        <w:rPr>
          <w:rFonts w:eastAsia="黑体" w:hAnsi="黑体"/>
          <w:kern w:val="0"/>
          <w:sz w:val="28"/>
        </w:rPr>
      </w:pPr>
    </w:p>
    <w:p w:rsidR="00360328" w:rsidRDefault="007C7AFB" w:rsidP="003739E3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lastRenderedPageBreak/>
        <w:t>九、各学期指导性修读学分分布表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855"/>
        <w:gridCol w:w="856"/>
        <w:gridCol w:w="855"/>
        <w:gridCol w:w="997"/>
        <w:gridCol w:w="855"/>
        <w:gridCol w:w="856"/>
        <w:gridCol w:w="712"/>
        <w:gridCol w:w="715"/>
        <w:gridCol w:w="994"/>
      </w:tblGrid>
      <w:tr w:rsidR="00360328">
        <w:trPr>
          <w:trHeight w:val="625"/>
          <w:jc w:val="center"/>
        </w:trPr>
        <w:tc>
          <w:tcPr>
            <w:tcW w:w="1636" w:type="dxa"/>
            <w:vMerge w:val="restart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课程</w:t>
            </w:r>
          </w:p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类型</w:t>
            </w:r>
          </w:p>
        </w:tc>
        <w:tc>
          <w:tcPr>
            <w:tcW w:w="7695" w:type="dxa"/>
            <w:gridSpan w:val="9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各学期指导性修读学分数</w:t>
            </w:r>
          </w:p>
        </w:tc>
      </w:tr>
      <w:tr w:rsidR="00360328">
        <w:trPr>
          <w:trHeight w:val="563"/>
          <w:jc w:val="center"/>
        </w:trPr>
        <w:tc>
          <w:tcPr>
            <w:tcW w:w="1636" w:type="dxa"/>
            <w:vMerge/>
            <w:vAlign w:val="center"/>
          </w:tcPr>
          <w:p w:rsidR="00360328" w:rsidRDefault="00360328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5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7</w:t>
            </w:r>
          </w:p>
        </w:tc>
        <w:tc>
          <w:tcPr>
            <w:tcW w:w="71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/>
                <w:sz w:val="22"/>
                <w:szCs w:val="21"/>
              </w:rPr>
              <w:t>8</w:t>
            </w:r>
          </w:p>
        </w:tc>
        <w:tc>
          <w:tcPr>
            <w:tcW w:w="994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rFonts w:eastAsia="黑体"/>
                <w:sz w:val="22"/>
                <w:szCs w:val="21"/>
              </w:rPr>
            </w:pPr>
            <w:r>
              <w:rPr>
                <w:rFonts w:eastAsia="黑体" w:hAnsi="黑体"/>
                <w:sz w:val="22"/>
                <w:szCs w:val="21"/>
              </w:rPr>
              <w:t>小学期</w:t>
            </w:r>
          </w:p>
        </w:tc>
      </w:tr>
      <w:tr w:rsidR="00360328">
        <w:trPr>
          <w:trHeight w:val="542"/>
          <w:jc w:val="center"/>
        </w:trPr>
        <w:tc>
          <w:tcPr>
            <w:tcW w:w="163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通识教育课程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24-26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97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2-4</w:t>
            </w:r>
          </w:p>
        </w:tc>
        <w:tc>
          <w:tcPr>
            <w:tcW w:w="712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0-2</w:t>
            </w:r>
          </w:p>
        </w:tc>
        <w:tc>
          <w:tcPr>
            <w:tcW w:w="71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0-2</w:t>
            </w:r>
          </w:p>
        </w:tc>
        <w:tc>
          <w:tcPr>
            <w:tcW w:w="994" w:type="dxa"/>
            <w:vAlign w:val="center"/>
          </w:tcPr>
          <w:p w:rsidR="00360328" w:rsidRDefault="00360328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60328">
        <w:trPr>
          <w:trHeight w:val="425"/>
          <w:jc w:val="center"/>
        </w:trPr>
        <w:tc>
          <w:tcPr>
            <w:tcW w:w="163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专业教育课程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7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14-18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12-18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10-25</w:t>
            </w:r>
          </w:p>
        </w:tc>
        <w:tc>
          <w:tcPr>
            <w:tcW w:w="712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8-13</w:t>
            </w:r>
          </w:p>
        </w:tc>
        <w:tc>
          <w:tcPr>
            <w:tcW w:w="71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8-12</w:t>
            </w:r>
          </w:p>
        </w:tc>
        <w:tc>
          <w:tcPr>
            <w:tcW w:w="994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2-4</w:t>
            </w:r>
          </w:p>
        </w:tc>
      </w:tr>
      <w:tr w:rsidR="00360328">
        <w:trPr>
          <w:trHeight w:val="429"/>
          <w:jc w:val="center"/>
        </w:trPr>
        <w:tc>
          <w:tcPr>
            <w:tcW w:w="163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小计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24-26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997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20-24</w:t>
            </w:r>
          </w:p>
        </w:tc>
        <w:tc>
          <w:tcPr>
            <w:tcW w:w="85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18-24</w:t>
            </w:r>
          </w:p>
        </w:tc>
        <w:tc>
          <w:tcPr>
            <w:tcW w:w="856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18-26</w:t>
            </w:r>
          </w:p>
        </w:tc>
        <w:tc>
          <w:tcPr>
            <w:tcW w:w="712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8-15</w:t>
            </w:r>
          </w:p>
        </w:tc>
        <w:tc>
          <w:tcPr>
            <w:tcW w:w="715" w:type="dxa"/>
            <w:vAlign w:val="center"/>
          </w:tcPr>
          <w:p w:rsidR="00360328" w:rsidRDefault="007C7AFB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8-14</w:t>
            </w:r>
          </w:p>
        </w:tc>
        <w:tc>
          <w:tcPr>
            <w:tcW w:w="994" w:type="dxa"/>
            <w:vAlign w:val="center"/>
          </w:tcPr>
          <w:p w:rsidR="00360328" w:rsidRDefault="00360328">
            <w:pPr>
              <w:pStyle w:val="11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360328" w:rsidRDefault="00360328">
      <w:pPr>
        <w:widowControl/>
        <w:jc w:val="left"/>
        <w:rPr>
          <w:rFonts w:eastAsia="黑体" w:hAnsi="黑体"/>
          <w:kern w:val="0"/>
          <w:sz w:val="28"/>
        </w:rPr>
      </w:pPr>
    </w:p>
    <w:p w:rsidR="00360328" w:rsidRDefault="007C7AFB">
      <w:pPr>
        <w:spacing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十、教学计划表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"/>
        <w:gridCol w:w="709"/>
        <w:gridCol w:w="1135"/>
        <w:gridCol w:w="1842"/>
        <w:gridCol w:w="567"/>
        <w:gridCol w:w="567"/>
        <w:gridCol w:w="567"/>
        <w:gridCol w:w="567"/>
        <w:gridCol w:w="567"/>
        <w:gridCol w:w="567"/>
        <w:gridCol w:w="426"/>
        <w:gridCol w:w="456"/>
        <w:gridCol w:w="425"/>
        <w:gridCol w:w="284"/>
        <w:gridCol w:w="425"/>
        <w:gridCol w:w="425"/>
        <w:gridCol w:w="373"/>
        <w:gridCol w:w="426"/>
      </w:tblGrid>
      <w:tr w:rsidR="00360328">
        <w:trPr>
          <w:trHeight w:val="568"/>
          <w:tblHeader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5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2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4426" w:type="dxa"/>
            <w:gridSpan w:val="9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850" w:type="dxa"/>
            <w:gridSpan w:val="2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99" w:type="dxa"/>
            <w:gridSpan w:val="2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成绩</w:t>
            </w:r>
          </w:p>
          <w:p w:rsidR="00360328" w:rsidRDefault="007C7AFB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考核</w:t>
            </w:r>
          </w:p>
        </w:tc>
      </w:tr>
      <w:tr w:rsidR="00360328">
        <w:trPr>
          <w:tblHeader/>
          <w:jc w:val="center"/>
        </w:trPr>
        <w:tc>
          <w:tcPr>
            <w:tcW w:w="1029" w:type="dxa"/>
            <w:gridSpan w:val="2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0328" w:rsidRDefault="007C7AFB">
            <w:pPr>
              <w:adjustRightInd w:val="0"/>
              <w:snapToGrid w:val="0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第一学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360328" w:rsidRDefault="007C7AF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第二学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360328" w:rsidRDefault="007C7AF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第三学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881" w:type="dxa"/>
            <w:gridSpan w:val="2"/>
            <w:vAlign w:val="center"/>
          </w:tcPr>
          <w:p w:rsidR="00360328" w:rsidRDefault="007C7AFB">
            <w:pPr>
              <w:adjustRightInd w:val="0"/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第四学</w:t>
            </w:r>
            <w:r>
              <w:rPr>
                <w:rFonts w:eastAsia="黑体" w:hAnsi="黑体"/>
                <w:b/>
                <w:spacing w:val="2"/>
                <w:w w:val="87"/>
                <w:kern w:val="0"/>
                <w:sz w:val="18"/>
                <w:szCs w:val="18"/>
              </w:rPr>
              <w:t>年</w:t>
            </w:r>
          </w:p>
        </w:tc>
        <w:tc>
          <w:tcPr>
            <w:tcW w:w="284" w:type="dxa"/>
            <w:vMerge w:val="restart"/>
            <w:vAlign w:val="center"/>
          </w:tcPr>
          <w:p w:rsidR="00360328" w:rsidRDefault="007C7AFB">
            <w:pPr>
              <w:adjustRightInd w:val="0"/>
              <w:snapToGrid w:val="0"/>
              <w:jc w:val="center"/>
              <w:rPr>
                <w:rFonts w:eastAsia="黑体"/>
                <w:b/>
                <w:w w:val="87"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w w:val="87"/>
                <w:kern w:val="0"/>
                <w:sz w:val="18"/>
                <w:szCs w:val="18"/>
              </w:rPr>
              <w:t>小学期</w:t>
            </w:r>
          </w:p>
        </w:tc>
        <w:tc>
          <w:tcPr>
            <w:tcW w:w="425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425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373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426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360328">
        <w:trPr>
          <w:tblHeader/>
          <w:jc w:val="center"/>
        </w:trPr>
        <w:tc>
          <w:tcPr>
            <w:tcW w:w="1029" w:type="dxa"/>
            <w:gridSpan w:val="2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五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六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七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八</w:t>
            </w:r>
          </w:p>
        </w:tc>
        <w:tc>
          <w:tcPr>
            <w:tcW w:w="284" w:type="dxa"/>
            <w:vMerge/>
          </w:tcPr>
          <w:p w:rsidR="00360328" w:rsidRDefault="00360328">
            <w:pPr>
              <w:snapToGrid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60328" w:rsidRDefault="00360328">
            <w:pPr>
              <w:snapToGrid w:val="0"/>
              <w:rPr>
                <w:sz w:val="18"/>
                <w:szCs w:val="18"/>
              </w:rPr>
            </w:pPr>
          </w:p>
        </w:tc>
      </w:tr>
      <w:tr w:rsidR="00360328">
        <w:trPr>
          <w:trHeight w:val="850"/>
          <w:jc w:val="center"/>
        </w:trPr>
        <w:tc>
          <w:tcPr>
            <w:tcW w:w="320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通识教育课程</w:t>
            </w:r>
          </w:p>
        </w:tc>
        <w:tc>
          <w:tcPr>
            <w:tcW w:w="709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家国情怀与价值理想</w:t>
            </w:r>
          </w:p>
        </w:tc>
        <w:tc>
          <w:tcPr>
            <w:tcW w:w="1135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体育与健康课程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  <w:p w:rsidR="00360328" w:rsidRDefault="0036032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0328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国际视野与文明对话</w:t>
            </w:r>
          </w:p>
        </w:tc>
        <w:tc>
          <w:tcPr>
            <w:tcW w:w="1135" w:type="dxa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GEN02901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中国概况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GEN02903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中级汉语读写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371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GEN02904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中高级汉语读写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经典研读与文化传承</w:t>
            </w: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GEN03901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中华文化要略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64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GEN03903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中级汉语写作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GEN03904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中高级汉语写作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405"/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360328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选修</w:t>
            </w:r>
            <w:r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数理基础与科学素养</w:t>
            </w: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GEN04111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一元微积分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GEN04112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多元微积分与线性代数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GEN04115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GEN04132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基础物理</w:t>
            </w:r>
            <w:r>
              <w:rPr>
                <w:rFonts w:hAnsi="宋体"/>
                <w:sz w:val="18"/>
                <w:szCs w:val="18"/>
              </w:rPr>
              <w:t>BI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GEN04133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基础物理</w:t>
            </w:r>
            <w:r>
              <w:rPr>
                <w:rFonts w:hAnsi="宋体"/>
                <w:sz w:val="18"/>
                <w:szCs w:val="18"/>
              </w:rPr>
              <w:t>BII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64</w:t>
            </w: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GEN04139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基础物理实验</w:t>
            </w:r>
            <w:r>
              <w:rPr>
                <w:rFonts w:hAnsi="宋体"/>
                <w:sz w:val="18"/>
                <w:szCs w:val="18"/>
              </w:rPr>
              <w:t>BI-1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64</w:t>
            </w:r>
          </w:p>
        </w:tc>
        <w:tc>
          <w:tcPr>
            <w:tcW w:w="373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GEN04146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普通化学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GEN04147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普通化学实验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64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GEN04199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计算机应用基础</w:t>
            </w:r>
            <w:r>
              <w:rPr>
                <w:rFonts w:hAnsi="宋体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373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ind w:leftChars="-28" w:left="-59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GEN04200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信息技术应用</w:t>
            </w:r>
            <w:r>
              <w:rPr>
                <w:rFonts w:hAnsi="宋体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生物类、天文类、地理类（该类任意课程）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艺术创作与审美体验</w:t>
            </w:r>
          </w:p>
        </w:tc>
        <w:tc>
          <w:tcPr>
            <w:tcW w:w="1135" w:type="dxa"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选修</w:t>
            </w:r>
            <w:r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社会发展与公民责任</w:t>
            </w:r>
          </w:p>
        </w:tc>
        <w:tc>
          <w:tcPr>
            <w:tcW w:w="1135" w:type="dxa"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选修</w:t>
            </w:r>
            <w:r>
              <w:rPr>
                <w:rFonts w:hAnsi="宋体"/>
                <w:sz w:val="18"/>
                <w:szCs w:val="18"/>
              </w:rPr>
              <w:t>该模块任意课程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 w:val="restart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专业教育课程</w:t>
            </w:r>
          </w:p>
        </w:tc>
        <w:tc>
          <w:tcPr>
            <w:tcW w:w="709" w:type="dxa"/>
            <w:vMerge w:val="restart"/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学科基础课</w:t>
            </w: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GEO1280</w:t>
            </w:r>
            <w:r>
              <w:rPr>
                <w:rFonts w:hAnsi="宋体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地图学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GEO1200</w:t>
            </w: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自然地理学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GEO1290</w:t>
            </w: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自然地理野外实习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hAnsi="宋体"/>
              </w:rPr>
            </w:pPr>
            <w:r>
              <w:rPr>
                <w:rFonts w:hAnsi="宋体"/>
              </w:rPr>
              <w:t>15</w:t>
            </w:r>
            <w:r>
              <w:rPr>
                <w:rFonts w:hAnsi="宋体"/>
              </w:rPr>
              <w:t>天</w:t>
            </w:r>
          </w:p>
        </w:tc>
        <w:tc>
          <w:tcPr>
            <w:tcW w:w="373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GEO1200</w:t>
            </w: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人文地理学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hAnsi="宋体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GEO1280</w:t>
            </w:r>
            <w:r>
              <w:rPr>
                <w:rFonts w:hAnsi="宋体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遥感概论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hAnsi="宋体"/>
              </w:rPr>
            </w:pPr>
            <w:r>
              <w:rPr>
                <w:rFonts w:hAnsi="宋体"/>
              </w:rPr>
              <w:t>32</w:t>
            </w: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GEO1280</w:t>
            </w:r>
            <w:r>
              <w:rPr>
                <w:rFonts w:hAnsi="宋体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地理信息系统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2+2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GEO1300</w:t>
            </w:r>
            <w:r>
              <w:rPr>
                <w:rFonts w:hAnsi="宋体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中国地理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GEO1300</w:t>
            </w:r>
            <w:r>
              <w:rPr>
                <w:rFonts w:hAnsi="宋体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地理统计分析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GEO1300</w:t>
            </w:r>
            <w:r>
              <w:rPr>
                <w:rFonts w:hAnsi="宋体"/>
                <w:sz w:val="18"/>
                <w:szCs w:val="18"/>
              </w:rPr>
              <w:t>9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全球变化与可持续发展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</w:tr>
      <w:tr w:rsidR="00360328">
        <w:trPr>
          <w:trHeight w:val="631"/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自由选修课程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所有专业任意课程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napToGrid w:val="0"/>
              <w:ind w:leftChars="-51" w:left="-107" w:rightChars="-51" w:right="-107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实践与创新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GEO31901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专业实习与社会调查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GEO32801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widowControl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60328">
        <w:trPr>
          <w:jc w:val="center"/>
        </w:trPr>
        <w:tc>
          <w:tcPr>
            <w:tcW w:w="320" w:type="dxa"/>
            <w:vMerge/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60328" w:rsidRDefault="007C7AFB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GEO33902</w:t>
            </w:r>
          </w:p>
        </w:tc>
        <w:tc>
          <w:tcPr>
            <w:tcW w:w="1842" w:type="dxa"/>
            <w:vAlign w:val="center"/>
          </w:tcPr>
          <w:p w:rsidR="00360328" w:rsidRDefault="007C7AFB">
            <w:pPr>
              <w:widowControl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社会实践与志愿服务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60328" w:rsidRDefault="007C7AFB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0328" w:rsidRDefault="00360328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3739E3">
        <w:trPr>
          <w:jc w:val="center"/>
        </w:trPr>
        <w:tc>
          <w:tcPr>
            <w:tcW w:w="320" w:type="dxa"/>
            <w:vMerge/>
          </w:tcPr>
          <w:p w:rsidR="003739E3" w:rsidRDefault="003739E3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39E3" w:rsidRDefault="003739E3">
            <w:pPr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39E3" w:rsidRDefault="003739E3">
            <w:p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GEO34802</w:t>
            </w:r>
          </w:p>
        </w:tc>
        <w:tc>
          <w:tcPr>
            <w:tcW w:w="1842" w:type="dxa"/>
            <w:vAlign w:val="center"/>
          </w:tcPr>
          <w:p w:rsidR="003739E3" w:rsidRDefault="003739E3">
            <w:pPr>
              <w:widowControl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科研训练与创新创业</w:t>
            </w:r>
          </w:p>
        </w:tc>
        <w:tc>
          <w:tcPr>
            <w:tcW w:w="567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0-2</w:t>
            </w:r>
          </w:p>
        </w:tc>
        <w:tc>
          <w:tcPr>
            <w:tcW w:w="567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39E3" w:rsidRDefault="003739E3" w:rsidP="00A863B2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739E3" w:rsidRDefault="003739E3" w:rsidP="00A863B2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56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√</w:t>
            </w:r>
          </w:p>
        </w:tc>
        <w:tc>
          <w:tcPr>
            <w:tcW w:w="284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739E3" w:rsidRDefault="003739E3"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 w:rsidR="00360328" w:rsidRDefault="00360328">
      <w:pPr>
        <w:ind w:leftChars="-405" w:left="-850"/>
        <w:rPr>
          <w:rFonts w:hAnsi="宋体"/>
          <w:sz w:val="18"/>
          <w:szCs w:val="18"/>
        </w:rPr>
      </w:pPr>
    </w:p>
    <w:p w:rsidR="00360328" w:rsidRDefault="00360328">
      <w:pPr>
        <w:ind w:leftChars="-405" w:left="-850"/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426"/>
        <w:gridCol w:w="1696"/>
        <w:gridCol w:w="2409"/>
        <w:gridCol w:w="375"/>
        <w:gridCol w:w="622"/>
        <w:gridCol w:w="623"/>
        <w:gridCol w:w="623"/>
        <w:gridCol w:w="625"/>
        <w:gridCol w:w="625"/>
        <w:gridCol w:w="638"/>
        <w:gridCol w:w="638"/>
      </w:tblGrid>
      <w:tr w:rsidR="00360328">
        <w:trPr>
          <w:trHeight w:val="568"/>
          <w:tblHeader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696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09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75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868" w:type="dxa"/>
            <w:gridSpan w:val="3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开课学期和周学时</w:t>
            </w:r>
          </w:p>
        </w:tc>
        <w:tc>
          <w:tcPr>
            <w:tcW w:w="1250" w:type="dxa"/>
            <w:gridSpan w:val="2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76" w:type="dxa"/>
            <w:gridSpan w:val="2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成绩考核</w:t>
            </w:r>
          </w:p>
        </w:tc>
      </w:tr>
      <w:tr w:rsidR="00360328">
        <w:trPr>
          <w:trHeight w:val="300"/>
          <w:tblHeader/>
          <w:jc w:val="center"/>
        </w:trPr>
        <w:tc>
          <w:tcPr>
            <w:tcW w:w="853" w:type="dxa"/>
            <w:gridSpan w:val="2"/>
            <w:vMerge/>
            <w:vAlign w:val="center"/>
          </w:tcPr>
          <w:p w:rsidR="00360328" w:rsidRDefault="00360328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360328" w:rsidRDefault="00360328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360328" w:rsidRDefault="00360328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360328" w:rsidRDefault="00360328">
            <w:pPr>
              <w:snapToGrid w:val="0"/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秋</w:t>
            </w:r>
          </w:p>
        </w:tc>
        <w:tc>
          <w:tcPr>
            <w:tcW w:w="623" w:type="dxa"/>
            <w:vMerge w:val="restart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春</w:t>
            </w:r>
          </w:p>
        </w:tc>
        <w:tc>
          <w:tcPr>
            <w:tcW w:w="623" w:type="dxa"/>
            <w:vMerge w:val="restart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rFonts w:eastAsia="黑体"/>
                <w:b/>
                <w:kern w:val="0"/>
                <w:sz w:val="18"/>
                <w:szCs w:val="18"/>
              </w:rPr>
            </w:pPr>
            <w:r>
              <w:rPr>
                <w:rFonts w:eastAsia="黑体" w:hAnsi="黑体"/>
                <w:b/>
                <w:kern w:val="0"/>
                <w:sz w:val="18"/>
                <w:szCs w:val="18"/>
              </w:rPr>
              <w:t>夏</w:t>
            </w:r>
          </w:p>
        </w:tc>
        <w:tc>
          <w:tcPr>
            <w:tcW w:w="625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讲课</w:t>
            </w:r>
          </w:p>
        </w:tc>
        <w:tc>
          <w:tcPr>
            <w:tcW w:w="625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实践</w:t>
            </w:r>
          </w:p>
        </w:tc>
        <w:tc>
          <w:tcPr>
            <w:tcW w:w="638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考查</w:t>
            </w:r>
          </w:p>
        </w:tc>
        <w:tc>
          <w:tcPr>
            <w:tcW w:w="638" w:type="dxa"/>
            <w:vMerge w:val="restart"/>
            <w:vAlign w:val="center"/>
          </w:tcPr>
          <w:p w:rsidR="00360328" w:rsidRDefault="007C7AFB">
            <w:pPr>
              <w:snapToGrid w:val="0"/>
              <w:spacing w:line="26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Ansi="黑体"/>
                <w:b/>
                <w:sz w:val="18"/>
                <w:szCs w:val="18"/>
              </w:rPr>
              <w:t>考试</w:t>
            </w:r>
          </w:p>
        </w:tc>
      </w:tr>
      <w:tr w:rsidR="00360328">
        <w:trPr>
          <w:trHeight w:val="312"/>
          <w:tblHeader/>
          <w:jc w:val="center"/>
        </w:trPr>
        <w:tc>
          <w:tcPr>
            <w:tcW w:w="853" w:type="dxa"/>
            <w:gridSpan w:val="2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2409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375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622" w:type="dxa"/>
            <w:vMerge/>
          </w:tcPr>
          <w:p w:rsidR="00360328" w:rsidRDefault="00360328">
            <w:pPr>
              <w:spacing w:line="26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360328" w:rsidRDefault="00360328">
            <w:pPr>
              <w:spacing w:line="26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3" w:type="dxa"/>
            <w:vMerge/>
          </w:tcPr>
          <w:p w:rsidR="00360328" w:rsidRDefault="00360328">
            <w:pPr>
              <w:spacing w:line="26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625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638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</w:tr>
      <w:tr w:rsidR="00360328">
        <w:trPr>
          <w:jc w:val="center"/>
        </w:trPr>
        <w:tc>
          <w:tcPr>
            <w:tcW w:w="427" w:type="dxa"/>
            <w:vMerge w:val="restart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/>
                <w:sz w:val="18"/>
                <w:szCs w:val="18"/>
              </w:rPr>
              <w:t>专业教育课程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eastAsia="黑体" w:hAnsi="黑体"/>
                <w:sz w:val="18"/>
                <w:szCs w:val="18"/>
              </w:rPr>
              <w:t>专业选修课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020</w:t>
            </w:r>
          </w:p>
        </w:tc>
        <w:tc>
          <w:tcPr>
            <w:tcW w:w="2409" w:type="dxa"/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经济地理学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021</w:t>
            </w:r>
          </w:p>
        </w:tc>
        <w:tc>
          <w:tcPr>
            <w:tcW w:w="2409" w:type="dxa"/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社会与文化地理学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022</w:t>
            </w:r>
          </w:p>
        </w:tc>
        <w:tc>
          <w:tcPr>
            <w:tcW w:w="2409" w:type="dxa"/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人口地理学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020</w:t>
            </w:r>
          </w:p>
        </w:tc>
        <w:tc>
          <w:tcPr>
            <w:tcW w:w="2409" w:type="dxa"/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城市地理学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021</w:t>
            </w:r>
          </w:p>
        </w:tc>
        <w:tc>
          <w:tcPr>
            <w:tcW w:w="2409" w:type="dxa"/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交通规划与交通地理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政治地理学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区域分析与规划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921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人文地理学综合实习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天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024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全球化与世界经济地理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服务与金融地理学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产业地理与规划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都市区土地利用规划与管理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城市规划原理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029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自然资源与环境经济学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922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规划制图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020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中外城市建设发展史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021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乡村地理与乡村发展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022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城市基础设施规划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01</w:t>
            </w:r>
            <w:r>
              <w:rPr>
                <w:sz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地貌学与第四纪环境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01</w:t>
            </w:r>
            <w:r>
              <w:rPr>
                <w:sz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气象学与气候学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360328">
        <w:trPr>
          <w:jc w:val="center"/>
        </w:trPr>
        <w:tc>
          <w:tcPr>
            <w:tcW w:w="427" w:type="dxa"/>
            <w:vMerge/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328" w:rsidRDefault="00360328">
            <w:pPr>
              <w:spacing w:line="260" w:lineRule="exact"/>
              <w:rPr>
                <w:szCs w:val="21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GEO2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013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60328" w:rsidRDefault="007C7AFB">
            <w:pPr>
              <w:spacing w:line="260" w:lineRule="exact"/>
              <w:jc w:val="left"/>
              <w:rPr>
                <w:sz w:val="20"/>
              </w:rPr>
            </w:pPr>
            <w:r>
              <w:rPr>
                <w:sz w:val="20"/>
              </w:rPr>
              <w:t>环境影响评价</w:t>
            </w:r>
          </w:p>
        </w:tc>
        <w:tc>
          <w:tcPr>
            <w:tcW w:w="37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5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360328" w:rsidRDefault="007C7AF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 w:rsidR="00360328" w:rsidRDefault="007C7AFB">
      <w:pPr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备注：（</w:t>
      </w:r>
      <w:r>
        <w:rPr>
          <w:kern w:val="0"/>
          <w:sz w:val="18"/>
          <w:szCs w:val="18"/>
        </w:rPr>
        <w:t>1</w:t>
      </w:r>
      <w:r>
        <w:rPr>
          <w:rFonts w:hAnsi="宋体"/>
          <w:kern w:val="0"/>
          <w:sz w:val="18"/>
          <w:szCs w:val="18"/>
        </w:rPr>
        <w:t>）自然地理野外实习在第</w:t>
      </w:r>
      <w:r>
        <w:rPr>
          <w:rFonts w:hAnsi="宋体" w:hint="eastAsia"/>
          <w:kern w:val="0"/>
          <w:sz w:val="18"/>
          <w:szCs w:val="18"/>
        </w:rPr>
        <w:t>一</w:t>
      </w:r>
      <w:r>
        <w:rPr>
          <w:rFonts w:hAnsi="宋体"/>
          <w:kern w:val="0"/>
          <w:sz w:val="18"/>
          <w:szCs w:val="18"/>
        </w:rPr>
        <w:t>年级暑期进行。</w:t>
      </w:r>
    </w:p>
    <w:p w:rsidR="00360328" w:rsidRDefault="007C7AFB">
      <w:pPr>
        <w:rPr>
          <w:rFonts w:hAnsi="宋体"/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2</w:t>
      </w:r>
      <w:r>
        <w:rPr>
          <w:rFonts w:hAnsi="宋体"/>
          <w:kern w:val="0"/>
          <w:sz w:val="18"/>
          <w:szCs w:val="18"/>
        </w:rPr>
        <w:t>）人文地理学综合实习在第三年级暑期的小学期进行。</w:t>
      </w:r>
    </w:p>
    <w:p w:rsidR="00360328" w:rsidRDefault="00360328">
      <w:pPr>
        <w:rPr>
          <w:kern w:val="0"/>
          <w:sz w:val="18"/>
          <w:szCs w:val="18"/>
        </w:rPr>
      </w:pPr>
    </w:p>
    <w:p w:rsidR="00360328" w:rsidRDefault="007C7AFB" w:rsidP="003739E3">
      <w:pPr>
        <w:spacing w:beforeLines="50" w:afterLines="50" w:line="360" w:lineRule="auto"/>
        <w:jc w:val="left"/>
        <w:rPr>
          <w:rFonts w:eastAsia="黑体"/>
          <w:kern w:val="0"/>
          <w:sz w:val="28"/>
        </w:rPr>
      </w:pPr>
      <w:r>
        <w:rPr>
          <w:rFonts w:eastAsia="黑体" w:hAnsi="黑体"/>
          <w:kern w:val="0"/>
          <w:sz w:val="28"/>
        </w:rPr>
        <w:t>十一、修读要求</w:t>
      </w:r>
    </w:p>
    <w:p w:rsidR="00360328" w:rsidRDefault="007C7AFB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鼓励学生自主选修通识教育课程各模块中的新生研讨课（</w:t>
      </w:r>
      <w:r>
        <w:rPr>
          <w:kern w:val="0"/>
          <w:sz w:val="24"/>
        </w:rPr>
        <w:t>X</w:t>
      </w:r>
      <w:r>
        <w:rPr>
          <w:kern w:val="0"/>
          <w:sz w:val="24"/>
        </w:rPr>
        <w:t>类课程）。</w:t>
      </w:r>
    </w:p>
    <w:p w:rsidR="00360328" w:rsidRDefault="007C7AFB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修读通识教育课程需达到</w:t>
      </w:r>
      <w:r>
        <w:rPr>
          <w:kern w:val="0"/>
          <w:sz w:val="24"/>
        </w:rPr>
        <w:t>82</w:t>
      </w:r>
      <w:r>
        <w:rPr>
          <w:kern w:val="0"/>
          <w:sz w:val="24"/>
        </w:rPr>
        <w:t>学分，需按照不同课程模块下的学分要求进行修读；</w:t>
      </w:r>
    </w:p>
    <w:p w:rsidR="00360328" w:rsidRDefault="007C7AFB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修读专业教育课程需达到</w:t>
      </w:r>
      <w:r>
        <w:rPr>
          <w:kern w:val="0"/>
          <w:sz w:val="24"/>
        </w:rPr>
        <w:t>73</w:t>
      </w:r>
      <w:r>
        <w:rPr>
          <w:kern w:val="0"/>
          <w:sz w:val="24"/>
        </w:rPr>
        <w:t>学分，其中学科基础课程为必修课程，共</w:t>
      </w:r>
      <w:r>
        <w:rPr>
          <w:kern w:val="0"/>
          <w:sz w:val="24"/>
        </w:rPr>
        <w:t>27</w:t>
      </w:r>
      <w:r>
        <w:rPr>
          <w:kern w:val="0"/>
          <w:sz w:val="24"/>
        </w:rPr>
        <w:t>学分；专业选修课程至少修读</w:t>
      </w:r>
      <w:r>
        <w:rPr>
          <w:kern w:val="0"/>
          <w:sz w:val="24"/>
        </w:rPr>
        <w:t>28</w:t>
      </w:r>
      <w:r>
        <w:rPr>
          <w:kern w:val="0"/>
          <w:sz w:val="24"/>
        </w:rPr>
        <w:t>学分；自由选修课程不受专业限制，可修读任意专业课程，至少修读</w:t>
      </w:r>
      <w:r>
        <w:rPr>
          <w:kern w:val="0"/>
          <w:sz w:val="24"/>
        </w:rPr>
        <w:t>10</w:t>
      </w:r>
      <w:r>
        <w:rPr>
          <w:kern w:val="0"/>
          <w:sz w:val="24"/>
        </w:rPr>
        <w:t>学分；需完成实践与创新环节共计</w:t>
      </w:r>
      <w:r>
        <w:rPr>
          <w:kern w:val="0"/>
          <w:sz w:val="24"/>
        </w:rPr>
        <w:t>8</w:t>
      </w:r>
      <w:r>
        <w:rPr>
          <w:kern w:val="0"/>
          <w:sz w:val="24"/>
        </w:rPr>
        <w:t>学分。</w:t>
      </w:r>
    </w:p>
    <w:p w:rsidR="00360328" w:rsidRDefault="007C7AFB">
      <w:pPr>
        <w:numPr>
          <w:ilvl w:val="0"/>
          <w:numId w:val="2"/>
        </w:numPr>
        <w:spacing w:line="360" w:lineRule="auto"/>
        <w:ind w:left="0" w:firstLineChars="200" w:firstLine="480"/>
        <w:rPr>
          <w:kern w:val="0"/>
          <w:sz w:val="24"/>
        </w:rPr>
      </w:pPr>
      <w:r>
        <w:rPr>
          <w:kern w:val="0"/>
          <w:sz w:val="24"/>
        </w:rPr>
        <w:t>专业选修课程编号的后三位数字对于修读具有指导性意义：</w:t>
      </w:r>
    </w:p>
    <w:tbl>
      <w:tblPr>
        <w:tblStyle w:val="a5"/>
        <w:tblW w:w="8042" w:type="dxa"/>
        <w:tblInd w:w="480" w:type="dxa"/>
        <w:tblLayout w:type="fixed"/>
        <w:tblLook w:val="04A0"/>
      </w:tblPr>
      <w:tblGrid>
        <w:gridCol w:w="2021"/>
        <w:gridCol w:w="2467"/>
        <w:gridCol w:w="1751"/>
        <w:gridCol w:w="1803"/>
      </w:tblGrid>
      <w:tr w:rsidR="00360328">
        <w:tc>
          <w:tcPr>
            <w:tcW w:w="2021" w:type="dxa"/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位</w:t>
            </w:r>
          </w:p>
        </w:tc>
        <w:tc>
          <w:tcPr>
            <w:tcW w:w="2467" w:type="dxa"/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倒数第三位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倒数第二位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倒数第一位</w:t>
            </w:r>
          </w:p>
        </w:tc>
      </w:tr>
      <w:tr w:rsidR="00360328">
        <w:tc>
          <w:tcPr>
            <w:tcW w:w="2021" w:type="dxa"/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建议修读年级</w:t>
            </w:r>
          </w:p>
        </w:tc>
        <w:tc>
          <w:tcPr>
            <w:tcW w:w="2467" w:type="dxa"/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课程性质（理论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实践）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开课学科代码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360328" w:rsidRDefault="007C7A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建议修读顺序</w:t>
            </w:r>
          </w:p>
        </w:tc>
      </w:tr>
    </w:tbl>
    <w:p w:rsidR="00360328" w:rsidRDefault="00360328">
      <w:pPr>
        <w:spacing w:line="360" w:lineRule="auto"/>
        <w:rPr>
          <w:kern w:val="0"/>
          <w:sz w:val="24"/>
        </w:rPr>
      </w:pPr>
    </w:p>
    <w:p w:rsidR="00360328" w:rsidRDefault="007C7AFB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建议按照课程编号制定修读计划。</w:t>
      </w:r>
    </w:p>
    <w:p w:rsidR="00360328" w:rsidRDefault="007C7AFB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 xml:space="preserve">5.  </w:t>
      </w:r>
      <w:r>
        <w:rPr>
          <w:kern w:val="0"/>
          <w:sz w:val="24"/>
        </w:rPr>
        <w:t>实践与创新环节为必修环节，合格才予毕业。</w:t>
      </w:r>
    </w:p>
    <w:p w:rsidR="00360328" w:rsidRDefault="007C7AFB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）专业实习与社会调查：必修，</w:t>
      </w:r>
      <w:r>
        <w:rPr>
          <w:kern w:val="0"/>
          <w:sz w:val="24"/>
        </w:rPr>
        <w:t>2</w:t>
      </w:r>
      <w:r>
        <w:rPr>
          <w:kern w:val="0"/>
          <w:sz w:val="24"/>
        </w:rPr>
        <w:t>学分，通过开展与专业培养内容相关的专业实习或社会调查取得该学分。</w:t>
      </w:r>
    </w:p>
    <w:p w:rsidR="008B2291" w:rsidRDefault="007C7AFB" w:rsidP="008B2291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kern w:val="0"/>
          <w:sz w:val="24"/>
        </w:rPr>
        <w:t>）毕业论文与毕业设计：必修，</w:t>
      </w:r>
      <w:r>
        <w:rPr>
          <w:kern w:val="0"/>
          <w:sz w:val="24"/>
        </w:rPr>
        <w:t xml:space="preserve"> 4</w:t>
      </w:r>
      <w:r>
        <w:rPr>
          <w:kern w:val="0"/>
          <w:sz w:val="24"/>
        </w:rPr>
        <w:t>学分。</w:t>
      </w:r>
    </w:p>
    <w:p w:rsidR="00360328" w:rsidRDefault="007C7AFB" w:rsidP="008B2291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kern w:val="0"/>
          <w:sz w:val="24"/>
        </w:rPr>
        <w:t>）社会实践与志愿服务和（</w:t>
      </w:r>
      <w:r>
        <w:rPr>
          <w:kern w:val="0"/>
          <w:sz w:val="24"/>
        </w:rPr>
        <w:t>4</w:t>
      </w:r>
      <w:r>
        <w:rPr>
          <w:kern w:val="0"/>
          <w:sz w:val="24"/>
        </w:rPr>
        <w:t>）科研训练与创新创业至少选择一个环节来获得学分，合计必修</w:t>
      </w:r>
      <w:r>
        <w:rPr>
          <w:kern w:val="0"/>
          <w:sz w:val="24"/>
        </w:rPr>
        <w:t>2</w:t>
      </w:r>
      <w:r>
        <w:rPr>
          <w:kern w:val="0"/>
          <w:sz w:val="24"/>
        </w:rPr>
        <w:t>学分。详见《地理学与遥感科学学院本科生实践与创新学分认定办法》。</w:t>
      </w:r>
    </w:p>
    <w:p w:rsidR="00CA6C87" w:rsidRDefault="00CA6C87" w:rsidP="008B2291">
      <w:pPr>
        <w:spacing w:line="360" w:lineRule="auto"/>
      </w:pPr>
      <w:r>
        <w:rPr>
          <w:rFonts w:hint="eastAsia"/>
          <w:kern w:val="0"/>
          <w:sz w:val="24"/>
        </w:rPr>
        <w:tab/>
        <w:t xml:space="preserve">6. </w:t>
      </w:r>
      <w:r w:rsidRPr="00CA6C87">
        <w:rPr>
          <w:rFonts w:hint="eastAsia"/>
          <w:kern w:val="0"/>
          <w:sz w:val="24"/>
        </w:rPr>
        <w:t>自由选修学分修读要求：为加强对学生修读自由选修学分的指导，结合地理科学学部专业实际情况，研究制订地理科学学部自由选修学分认定办法。以下课程均可被认定为自由选修课程学分：</w:t>
      </w:r>
      <w:r w:rsidRPr="00CA6C87">
        <w:rPr>
          <w:rFonts w:hint="eastAsia"/>
          <w:kern w:val="0"/>
          <w:sz w:val="24"/>
        </w:rPr>
        <w:t>1.</w:t>
      </w:r>
      <w:r w:rsidRPr="00CA6C87">
        <w:rPr>
          <w:rFonts w:hint="eastAsia"/>
          <w:kern w:val="0"/>
          <w:sz w:val="24"/>
        </w:rPr>
        <w:t>全校各专业的专业教育课程、教师职业素养课程、研究生课程。</w:t>
      </w:r>
      <w:r w:rsidRPr="00CA6C87">
        <w:rPr>
          <w:rFonts w:hint="eastAsia"/>
          <w:kern w:val="0"/>
          <w:sz w:val="24"/>
        </w:rPr>
        <w:t>2.</w:t>
      </w:r>
      <w:r w:rsidRPr="00CA6C87">
        <w:rPr>
          <w:rFonts w:hint="eastAsia"/>
          <w:kern w:val="0"/>
          <w:sz w:val="24"/>
        </w:rPr>
        <w:t>通识教育课程中，“国际视野与文明对话”模块中的</w:t>
      </w:r>
      <w:r w:rsidRPr="00CA6C87">
        <w:rPr>
          <w:rFonts w:hint="eastAsia"/>
          <w:kern w:val="0"/>
          <w:sz w:val="24"/>
        </w:rPr>
        <w:lastRenderedPageBreak/>
        <w:t>“东西方文化”课程、“经典研读与文化传承”模块、“数理基础与科学素养”模块、“社会发展与公民责任”模块中的课程，超过专业要求的学分后，可申请记录为自由选修学分。申请认定此类课程的学分总数不可超过</w:t>
      </w:r>
      <w:r w:rsidRPr="00CA6C87">
        <w:rPr>
          <w:rFonts w:hint="eastAsia"/>
          <w:kern w:val="0"/>
          <w:sz w:val="24"/>
        </w:rPr>
        <w:t>4</w:t>
      </w:r>
      <w:r w:rsidRPr="00CA6C87">
        <w:rPr>
          <w:rFonts w:hint="eastAsia"/>
          <w:kern w:val="0"/>
          <w:sz w:val="24"/>
        </w:rPr>
        <w:t>学分。</w:t>
      </w:r>
    </w:p>
    <w:sectPr w:rsidR="00CA6C87" w:rsidSect="003603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65" w:rsidRDefault="00977965" w:rsidP="00360328">
      <w:r>
        <w:separator/>
      </w:r>
    </w:p>
  </w:endnote>
  <w:endnote w:type="continuationSeparator" w:id="1">
    <w:p w:rsidR="00977965" w:rsidRDefault="00977965" w:rsidP="0036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8" w:rsidRDefault="007877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60328" w:rsidRDefault="007877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C7AF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739E3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65" w:rsidRDefault="00977965" w:rsidP="00360328">
      <w:r>
        <w:separator/>
      </w:r>
    </w:p>
  </w:footnote>
  <w:footnote w:type="continuationSeparator" w:id="1">
    <w:p w:rsidR="00977965" w:rsidRDefault="00977965" w:rsidP="0036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9" w:hanging="420"/>
      </w:pPr>
    </w:lvl>
    <w:lvl w:ilvl="2">
      <w:start w:val="1"/>
      <w:numFmt w:val="lowerRoman"/>
      <w:lvlText w:val="%3."/>
      <w:lvlJc w:val="right"/>
      <w:pPr>
        <w:ind w:left="5229" w:hanging="420"/>
      </w:pPr>
    </w:lvl>
    <w:lvl w:ilvl="3">
      <w:start w:val="1"/>
      <w:numFmt w:val="decimal"/>
      <w:lvlText w:val="%4."/>
      <w:lvlJc w:val="left"/>
      <w:pPr>
        <w:ind w:left="5649" w:hanging="420"/>
      </w:pPr>
    </w:lvl>
    <w:lvl w:ilvl="4">
      <w:start w:val="1"/>
      <w:numFmt w:val="lowerLetter"/>
      <w:lvlText w:val="%5)"/>
      <w:lvlJc w:val="left"/>
      <w:pPr>
        <w:ind w:left="6069" w:hanging="420"/>
      </w:pPr>
    </w:lvl>
    <w:lvl w:ilvl="5">
      <w:start w:val="1"/>
      <w:numFmt w:val="lowerRoman"/>
      <w:lvlText w:val="%6."/>
      <w:lvlJc w:val="right"/>
      <w:pPr>
        <w:ind w:left="6489" w:hanging="420"/>
      </w:pPr>
    </w:lvl>
    <w:lvl w:ilvl="6">
      <w:start w:val="1"/>
      <w:numFmt w:val="decimal"/>
      <w:lvlText w:val="%7."/>
      <w:lvlJc w:val="left"/>
      <w:pPr>
        <w:ind w:left="6909" w:hanging="420"/>
      </w:pPr>
    </w:lvl>
    <w:lvl w:ilvl="7">
      <w:start w:val="1"/>
      <w:numFmt w:val="lowerLetter"/>
      <w:lvlText w:val="%8)"/>
      <w:lvlJc w:val="left"/>
      <w:pPr>
        <w:ind w:left="7329" w:hanging="420"/>
      </w:pPr>
    </w:lvl>
    <w:lvl w:ilvl="8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5C130422"/>
    <w:multiLevelType w:val="multilevel"/>
    <w:tmpl w:val="5C130422"/>
    <w:lvl w:ilvl="0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28"/>
    <w:rsid w:val="001D611F"/>
    <w:rsid w:val="00202D99"/>
    <w:rsid w:val="00360328"/>
    <w:rsid w:val="003739E3"/>
    <w:rsid w:val="00571F60"/>
    <w:rsid w:val="006A7352"/>
    <w:rsid w:val="00754701"/>
    <w:rsid w:val="0078778B"/>
    <w:rsid w:val="007C7AFB"/>
    <w:rsid w:val="008B2291"/>
    <w:rsid w:val="00977965"/>
    <w:rsid w:val="00A2090F"/>
    <w:rsid w:val="00CA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36032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6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360328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qFormat/>
    <w:rsid w:val="00360328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774</Words>
  <Characters>4415</Characters>
  <Application>Microsoft Office Word</Application>
  <DocSecurity>0</DocSecurity>
  <Lines>36</Lines>
  <Paragraphs>10</Paragraphs>
  <ScaleCrop>false</ScaleCrop>
  <Company>Lenovo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2014-10-29T12:08:00Z</dcterms:created>
  <dcterms:modified xsi:type="dcterms:W3CDTF">2017-07-17T02:56:00Z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